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D5" w:rsidRPr="00E4530A" w:rsidRDefault="00BC38D5" w:rsidP="00BC38D5">
      <w:pPr>
        <w:autoSpaceDE w:val="0"/>
        <w:autoSpaceDN w:val="0"/>
        <w:adjustRightInd w:val="0"/>
        <w:jc w:val="center"/>
        <w:rPr>
          <w:rFonts w:ascii="Cambria" w:hAnsi="Cambria" w:cs="AvenirLTStd-Heavy"/>
          <w:b/>
          <w:sz w:val="40"/>
          <w:szCs w:val="40"/>
          <w:u w:val="single"/>
        </w:rPr>
      </w:pPr>
      <w:r w:rsidRPr="00E4530A">
        <w:rPr>
          <w:rFonts w:ascii="Cambria" w:hAnsi="Cambria" w:cs="AvenirLTStd-Heavy"/>
          <w:b/>
          <w:sz w:val="40"/>
          <w:szCs w:val="40"/>
          <w:u w:val="single"/>
        </w:rPr>
        <w:t>Data Conversations</w:t>
      </w:r>
    </w:p>
    <w:p w:rsidR="00BC38D5" w:rsidRPr="00E4530A" w:rsidRDefault="00BC38D5" w:rsidP="00BC38D5">
      <w:pPr>
        <w:autoSpaceDE w:val="0"/>
        <w:autoSpaceDN w:val="0"/>
        <w:adjustRightInd w:val="0"/>
        <w:jc w:val="center"/>
        <w:rPr>
          <w:rFonts w:ascii="AvenirLTStd-Heavy" w:hAnsi="AvenirLTStd-Heavy" w:cs="AvenirLTStd-Heavy"/>
        </w:rPr>
      </w:pPr>
      <w:proofErr w:type="spellStart"/>
      <w:r w:rsidRPr="00E4530A">
        <w:rPr>
          <w:rFonts w:ascii="AvenirLTStd-Heavy" w:hAnsi="AvenirLTStd-Heavy" w:cs="AvenirLTStd-Heavy"/>
        </w:rPr>
        <w:t>School_________________________Grade</w:t>
      </w:r>
      <w:proofErr w:type="spellEnd"/>
      <w:r w:rsidRPr="00E4530A">
        <w:rPr>
          <w:rFonts w:ascii="AvenirLTStd-Heavy" w:hAnsi="AvenirLTStd-Heavy" w:cs="AvenirLTStd-Heavy"/>
        </w:rPr>
        <w:t xml:space="preserve"> Level ______________ </w:t>
      </w:r>
    </w:p>
    <w:p w:rsidR="00BC38D5" w:rsidRPr="00E4530A" w:rsidRDefault="00BC38D5" w:rsidP="00BC38D5">
      <w:pPr>
        <w:autoSpaceDE w:val="0"/>
        <w:autoSpaceDN w:val="0"/>
        <w:adjustRightInd w:val="0"/>
        <w:rPr>
          <w:rFonts w:ascii="AvenirLTStd-Heavy" w:hAnsi="AvenirLTStd-Heavy" w:cs="AvenirLTStd-Heavy"/>
        </w:rPr>
      </w:pPr>
    </w:p>
    <w:p w:rsidR="00BC38D5" w:rsidRPr="00E4530A" w:rsidRDefault="00BC38D5" w:rsidP="00BC38D5">
      <w:pPr>
        <w:autoSpaceDE w:val="0"/>
        <w:autoSpaceDN w:val="0"/>
        <w:adjustRightInd w:val="0"/>
        <w:jc w:val="center"/>
        <w:rPr>
          <w:rFonts w:ascii="AvenirLTStd-Heavy" w:hAnsi="AvenirLTStd-Heavy" w:cs="AvenirLTStd-Heavy"/>
        </w:rPr>
      </w:pPr>
      <w:r w:rsidRPr="00E4530A">
        <w:rPr>
          <w:rFonts w:ascii="AvenirLTStd-Heavy" w:hAnsi="AvenirLTStd-Heavy" w:cs="AvenirLTStd-Heavy"/>
        </w:rPr>
        <w:t>Subject_____________</w:t>
      </w:r>
      <w:proofErr w:type="gramStart"/>
      <w:r w:rsidRPr="00E4530A">
        <w:rPr>
          <w:rFonts w:ascii="AvenirLTStd-Heavy" w:hAnsi="AvenirLTStd-Heavy" w:cs="AvenirLTStd-Heavy"/>
        </w:rPr>
        <w:t>_                  Date</w:t>
      </w:r>
      <w:proofErr w:type="gramEnd"/>
      <w:r w:rsidRPr="00E4530A">
        <w:rPr>
          <w:rFonts w:ascii="AvenirLTStd-Heavy" w:hAnsi="AvenirLTStd-Heavy" w:cs="AvenirLTStd-Heavy"/>
        </w:rPr>
        <w:t xml:space="preserve">: </w:t>
      </w:r>
      <w:r w:rsidRPr="00E4530A">
        <w:rPr>
          <w:rFonts w:ascii="AvenirLTStd-Heavy" w:hAnsi="AvenirLTStd-Heavy" w:cs="AvenirLTStd-Heavy"/>
          <w:u w:val="single"/>
        </w:rPr>
        <w:t>_____________</w:t>
      </w:r>
    </w:p>
    <w:p w:rsidR="00BC38D5" w:rsidRPr="00E4530A" w:rsidRDefault="00BC38D5" w:rsidP="00BC38D5">
      <w:pPr>
        <w:autoSpaceDE w:val="0"/>
        <w:autoSpaceDN w:val="0"/>
        <w:adjustRightInd w:val="0"/>
        <w:jc w:val="center"/>
        <w:rPr>
          <w:rFonts w:ascii="AvenirLTStd-Heavy" w:hAnsi="AvenirLTStd-Heavy" w:cs="AvenirLTStd-Heavy"/>
        </w:rPr>
      </w:pPr>
      <w:r w:rsidRPr="00E4530A">
        <w:rPr>
          <w:rFonts w:ascii="AvenirLTStd-Heavy" w:hAnsi="AvenirLTStd-Heavy" w:cs="AvenirLTStd-Heavy"/>
        </w:rPr>
        <w:t xml:space="preserve">Common Assessment Objective to </w:t>
      </w:r>
      <w:proofErr w:type="gramStart"/>
      <w:r w:rsidRPr="00E4530A">
        <w:rPr>
          <w:rFonts w:ascii="AvenirLTStd-Heavy" w:hAnsi="AvenirLTStd-Heavy" w:cs="AvenirLTStd-Heavy"/>
        </w:rPr>
        <w:t>Be Reviewed</w:t>
      </w:r>
      <w:proofErr w:type="gramEnd"/>
      <w:r w:rsidRPr="00E4530A">
        <w:rPr>
          <w:rFonts w:ascii="AvenirLTStd-Heavy" w:hAnsi="AvenirLTStd-Heavy" w:cs="AvenirLTStd-Heavy"/>
        </w:rPr>
        <w:t>: _</w:t>
      </w:r>
      <w:r w:rsidRPr="00E4530A">
        <w:rPr>
          <w:rFonts w:ascii="AvenirLTStd-Heavy" w:hAnsi="AvenirLTStd-Heavy" w:cs="AvenirLTStd-Heavy"/>
          <w:u w:val="single"/>
        </w:rPr>
        <w:t>________________________________</w:t>
      </w:r>
      <w:r w:rsidRPr="00E4530A">
        <w:rPr>
          <w:rFonts w:ascii="AvenirLTStd-Heavy" w:hAnsi="AvenirLTStd-Heavy" w:cs="AvenirLTStd-Heavy"/>
        </w:rPr>
        <w:t>__</w:t>
      </w:r>
    </w:p>
    <w:p w:rsidR="00BC38D5" w:rsidRPr="00E4530A" w:rsidRDefault="00BC38D5" w:rsidP="00BC38D5">
      <w:pPr>
        <w:autoSpaceDE w:val="0"/>
        <w:autoSpaceDN w:val="0"/>
        <w:adjustRightInd w:val="0"/>
        <w:jc w:val="center"/>
        <w:rPr>
          <w:rFonts w:ascii="AvenirLTStd-Heavy" w:hAnsi="AvenirLTStd-Heavy" w:cs="AvenirLTStd-Heavy"/>
        </w:rPr>
      </w:pPr>
    </w:p>
    <w:tbl>
      <w:tblPr>
        <w:tblW w:w="10890" w:type="dxa"/>
        <w:tblInd w:w="-1062" w:type="dxa"/>
        <w:tblLayout w:type="fixed"/>
        <w:tblLook w:val="0000" w:firstRow="0" w:lastRow="0" w:firstColumn="0" w:lastColumn="0" w:noHBand="0" w:noVBand="0"/>
      </w:tblPr>
      <w:tblGrid>
        <w:gridCol w:w="5830"/>
        <w:gridCol w:w="5060"/>
      </w:tblGrid>
      <w:tr w:rsidR="00BC38D5" w:rsidRPr="00D81DC4" w:rsidTr="00BC38D5">
        <w:trPr>
          <w:trHeight w:val="323"/>
        </w:trPr>
        <w:tc>
          <w:tcPr>
            <w:tcW w:w="10890" w:type="dxa"/>
            <w:gridSpan w:val="2"/>
            <w:tcBorders>
              <w:top w:val="single" w:sz="12" w:space="0" w:color="auto"/>
              <w:left w:val="single" w:sz="12" w:space="0" w:color="auto"/>
              <w:bottom w:val="single" w:sz="12" w:space="0" w:color="auto"/>
              <w:right w:val="single" w:sz="12" w:space="0" w:color="auto"/>
            </w:tcBorders>
            <w:noWrap/>
            <w:vAlign w:val="center"/>
          </w:tcPr>
          <w:p w:rsidR="00BC38D5" w:rsidRPr="00E4530A" w:rsidRDefault="00BC38D5" w:rsidP="00BC38D5">
            <w:pPr>
              <w:ind w:firstLineChars="100" w:firstLine="260"/>
              <w:rPr>
                <w:rFonts w:ascii="Arial" w:hAnsi="Arial"/>
                <w:b/>
              </w:rPr>
            </w:pPr>
            <w:bookmarkStart w:id="0" w:name="_GoBack"/>
            <w:bookmarkEnd w:id="0"/>
            <w:r w:rsidRPr="00E4530A">
              <w:rPr>
                <w:rFonts w:ascii="Arial" w:hAnsi="Arial"/>
                <w:b/>
              </w:rPr>
              <w:t>FOUR CRITICAL QUESTIONS OF LEARNING TO FRAME OUR CONVERSATION</w:t>
            </w:r>
          </w:p>
        </w:tc>
      </w:tr>
      <w:tr w:rsidR="00BC38D5" w:rsidRPr="00D81DC4" w:rsidTr="00BC38D5">
        <w:trPr>
          <w:trHeight w:val="297"/>
        </w:trPr>
        <w:tc>
          <w:tcPr>
            <w:tcW w:w="5830" w:type="dxa"/>
            <w:tcBorders>
              <w:top w:val="single" w:sz="12" w:space="0" w:color="auto"/>
              <w:left w:val="single" w:sz="12" w:space="0" w:color="auto"/>
              <w:bottom w:val="nil"/>
              <w:right w:val="nil"/>
            </w:tcBorders>
            <w:noWrap/>
            <w:tcMar>
              <w:left w:w="14" w:type="dxa"/>
            </w:tcMar>
            <w:vAlign w:val="bottom"/>
          </w:tcPr>
          <w:p w:rsidR="00BC38D5" w:rsidRPr="00E4530A" w:rsidRDefault="00BC38D5" w:rsidP="001B5989">
            <w:pPr>
              <w:ind w:firstLineChars="100" w:firstLine="260"/>
              <w:rPr>
                <w:rFonts w:ascii="Arial" w:hAnsi="Arial"/>
                <w:b/>
                <w:i/>
              </w:rPr>
            </w:pPr>
            <w:r w:rsidRPr="00E4530A">
              <w:rPr>
                <w:rFonts w:ascii="Arial" w:hAnsi="Arial"/>
                <w:b/>
                <w:i/>
              </w:rPr>
              <w:t>1. What do we want our students to learn?</w:t>
            </w:r>
          </w:p>
        </w:tc>
        <w:tc>
          <w:tcPr>
            <w:tcW w:w="5060" w:type="dxa"/>
            <w:tcBorders>
              <w:top w:val="single" w:sz="12" w:space="0" w:color="auto"/>
              <w:left w:val="nil"/>
              <w:bottom w:val="nil"/>
              <w:right w:val="single" w:sz="12" w:space="0" w:color="auto"/>
            </w:tcBorders>
            <w:noWrap/>
            <w:tcMar>
              <w:left w:w="14" w:type="dxa"/>
            </w:tcMar>
            <w:vAlign w:val="bottom"/>
          </w:tcPr>
          <w:p w:rsidR="00BC38D5" w:rsidRPr="00E4530A" w:rsidRDefault="00BC38D5" w:rsidP="001B5989">
            <w:pPr>
              <w:ind w:firstLineChars="100" w:firstLine="260"/>
              <w:rPr>
                <w:rFonts w:ascii="Arial" w:hAnsi="Arial"/>
                <w:b/>
                <w:i/>
              </w:rPr>
            </w:pPr>
            <w:r w:rsidRPr="00E4530A">
              <w:rPr>
                <w:rFonts w:ascii="Arial" w:hAnsi="Arial"/>
                <w:b/>
                <w:i/>
              </w:rPr>
              <w:t xml:space="preserve">3. How will we respond when they </w:t>
            </w:r>
            <w:proofErr w:type="gramStart"/>
            <w:r w:rsidRPr="00E4530A">
              <w:rPr>
                <w:rFonts w:ascii="Arial" w:hAnsi="Arial"/>
                <w:b/>
                <w:i/>
              </w:rPr>
              <w:t>don't</w:t>
            </w:r>
            <w:proofErr w:type="gramEnd"/>
            <w:r w:rsidRPr="00E4530A">
              <w:rPr>
                <w:rFonts w:ascii="Arial" w:hAnsi="Arial"/>
                <w:b/>
                <w:i/>
              </w:rPr>
              <w:t xml:space="preserve"> learn?</w:t>
            </w:r>
          </w:p>
        </w:tc>
      </w:tr>
      <w:tr w:rsidR="00BC38D5" w:rsidRPr="00D81DC4" w:rsidTr="00BC38D5">
        <w:trPr>
          <w:trHeight w:val="390"/>
        </w:trPr>
        <w:tc>
          <w:tcPr>
            <w:tcW w:w="5830" w:type="dxa"/>
            <w:tcBorders>
              <w:top w:val="single" w:sz="12" w:space="0" w:color="auto"/>
              <w:left w:val="single" w:sz="12" w:space="0" w:color="auto"/>
              <w:bottom w:val="single" w:sz="12" w:space="0" w:color="auto"/>
              <w:right w:val="nil"/>
            </w:tcBorders>
            <w:noWrap/>
            <w:tcMar>
              <w:left w:w="14" w:type="dxa"/>
            </w:tcMar>
            <w:vAlign w:val="center"/>
          </w:tcPr>
          <w:p w:rsidR="00BC38D5" w:rsidRPr="00E4530A" w:rsidRDefault="00BC38D5" w:rsidP="001B5989">
            <w:pPr>
              <w:ind w:firstLineChars="100" w:firstLine="260"/>
              <w:rPr>
                <w:rFonts w:ascii="Arial" w:hAnsi="Arial"/>
                <w:b/>
                <w:i/>
              </w:rPr>
            </w:pPr>
            <w:r w:rsidRPr="00E4530A">
              <w:rPr>
                <w:rFonts w:ascii="Arial" w:hAnsi="Arial"/>
                <w:b/>
                <w:i/>
              </w:rPr>
              <w:t>2. How will we know they are learning?</w:t>
            </w:r>
          </w:p>
        </w:tc>
        <w:tc>
          <w:tcPr>
            <w:tcW w:w="5060" w:type="dxa"/>
            <w:tcBorders>
              <w:top w:val="single" w:sz="12" w:space="0" w:color="auto"/>
              <w:left w:val="nil"/>
              <w:bottom w:val="single" w:sz="12" w:space="0" w:color="auto"/>
              <w:right w:val="single" w:sz="12" w:space="0" w:color="auto"/>
            </w:tcBorders>
            <w:noWrap/>
            <w:tcMar>
              <w:top w:w="43" w:type="dxa"/>
              <w:left w:w="14" w:type="dxa"/>
              <w:right w:w="115" w:type="dxa"/>
            </w:tcMar>
            <w:vAlign w:val="center"/>
          </w:tcPr>
          <w:p w:rsidR="00BC38D5" w:rsidRPr="00E4530A" w:rsidRDefault="00BC38D5" w:rsidP="001B5989">
            <w:pPr>
              <w:ind w:firstLineChars="100" w:firstLine="260"/>
              <w:rPr>
                <w:rFonts w:ascii="Arial" w:hAnsi="Arial"/>
                <w:b/>
                <w:i/>
              </w:rPr>
            </w:pPr>
            <w:r w:rsidRPr="00E4530A">
              <w:rPr>
                <w:rFonts w:ascii="Arial" w:hAnsi="Arial"/>
                <w:b/>
                <w:i/>
              </w:rPr>
              <w:t xml:space="preserve">4. How will we respond when they do learn?                   </w:t>
            </w:r>
          </w:p>
        </w:tc>
      </w:tr>
    </w:tbl>
    <w:p w:rsidR="00BC38D5" w:rsidRPr="00E4530A" w:rsidRDefault="00BC38D5" w:rsidP="00BC38D5">
      <w:pPr>
        <w:rPr>
          <w:vanish/>
        </w:rPr>
      </w:pPr>
    </w:p>
    <w:tbl>
      <w:tblPr>
        <w:tblpPr w:leftFromText="180" w:rightFromText="180" w:vertAnchor="text" w:horzAnchor="margin" w:tblpXSpec="center" w:tblpY="16"/>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73"/>
        <w:gridCol w:w="1448"/>
        <w:gridCol w:w="1879"/>
        <w:gridCol w:w="3732"/>
      </w:tblGrid>
      <w:tr w:rsidR="00BC38D5" w:rsidRPr="00D81DC4" w:rsidTr="001B5989">
        <w:trPr>
          <w:trHeight w:val="112"/>
        </w:trPr>
        <w:tc>
          <w:tcPr>
            <w:tcW w:w="11130" w:type="dxa"/>
            <w:gridSpan w:val="5"/>
            <w:tcBorders>
              <w:top w:val="single" w:sz="18" w:space="0" w:color="auto"/>
              <w:left w:val="single" w:sz="18" w:space="0" w:color="auto"/>
              <w:right w:val="single" w:sz="18" w:space="0" w:color="auto"/>
            </w:tcBorders>
            <w:shd w:val="clear" w:color="auto" w:fill="D9D9D9"/>
          </w:tcPr>
          <w:p w:rsidR="00BC38D5" w:rsidRPr="00E4530A" w:rsidRDefault="00BC38D5" w:rsidP="001B5989">
            <w:pPr>
              <w:autoSpaceDE w:val="0"/>
              <w:autoSpaceDN w:val="0"/>
              <w:adjustRightInd w:val="0"/>
              <w:rPr>
                <w:rFonts w:ascii="Cambria" w:hAnsi="Cambria" w:cs="AvenirLTStd-Heavy"/>
                <w:b/>
                <w:sz w:val="28"/>
                <w:szCs w:val="28"/>
                <w:u w:val="single"/>
              </w:rPr>
            </w:pPr>
            <w:r w:rsidRPr="00E4530A">
              <w:rPr>
                <w:rFonts w:ascii="Cambria" w:hAnsi="Cambria" w:cs="AvenirLTStd-Heavy"/>
                <w:b/>
                <w:sz w:val="28"/>
                <w:szCs w:val="28"/>
                <w:u w:val="single"/>
              </w:rPr>
              <w:t>Step 1: Prepare Your Data Set</w:t>
            </w:r>
          </w:p>
          <w:p w:rsidR="00BC38D5" w:rsidRPr="00E4530A" w:rsidRDefault="00BC38D5" w:rsidP="001B5989">
            <w:pPr>
              <w:autoSpaceDE w:val="0"/>
              <w:autoSpaceDN w:val="0"/>
              <w:adjustRightInd w:val="0"/>
            </w:pPr>
            <w:r w:rsidRPr="00E4530A">
              <w:rPr>
                <w:rFonts w:ascii="AvenirLTStd-Light" w:hAnsi="AvenirLTStd-Light" w:cs="AvenirLTStd-Light"/>
                <w:sz w:val="20"/>
                <w:szCs w:val="20"/>
              </w:rPr>
              <w:t>The most effective learning teams recognize that successful data conversations depend on approachable data sets that have been carefully prepared to spotlight trends and patterns in student learning. Use the following strategies to prepare the results of the common assessment that our team is studying today.</w:t>
            </w:r>
          </w:p>
        </w:tc>
      </w:tr>
      <w:tr w:rsidR="00BC38D5" w:rsidRPr="00D81DC4" w:rsidTr="001B5989">
        <w:trPr>
          <w:trHeight w:val="112"/>
        </w:trPr>
        <w:tc>
          <w:tcPr>
            <w:tcW w:w="11130" w:type="dxa"/>
            <w:gridSpan w:val="5"/>
            <w:tcBorders>
              <w:left w:val="single" w:sz="18" w:space="0" w:color="auto"/>
              <w:bottom w:val="single" w:sz="18" w:space="0" w:color="auto"/>
              <w:right w:val="single" w:sz="18" w:space="0" w:color="auto"/>
            </w:tcBorders>
          </w:tcPr>
          <w:p w:rsidR="00BC38D5" w:rsidRPr="00E4530A" w:rsidRDefault="00BC38D5" w:rsidP="001B5989">
            <w:pPr>
              <w:autoSpaceDE w:val="0"/>
              <w:autoSpaceDN w:val="0"/>
              <w:adjustRightInd w:val="0"/>
              <w:rPr>
                <w:rFonts w:ascii="Cambria" w:hAnsi="Cambria" w:cs="AvenirLTStd-Heavy"/>
                <w:b/>
                <w:sz w:val="28"/>
                <w:szCs w:val="28"/>
              </w:rPr>
            </w:pPr>
            <w:r w:rsidRPr="00E4530A">
              <w:rPr>
                <w:rFonts w:ascii="Cambria" w:hAnsi="Cambria" w:cs="AvenirLTStd-Heavy"/>
                <w:b/>
                <w:sz w:val="28"/>
                <w:szCs w:val="28"/>
              </w:rPr>
              <w:t>Stoplight Highlighting</w:t>
            </w:r>
          </w:p>
          <w:p w:rsidR="00BC38D5" w:rsidRPr="00E4530A" w:rsidRDefault="00BC38D5" w:rsidP="001B5989">
            <w:pPr>
              <w:autoSpaceDE w:val="0"/>
              <w:autoSpaceDN w:val="0"/>
              <w:adjustRightInd w:val="0"/>
            </w:pPr>
            <w:r w:rsidRPr="00E4530A">
              <w:rPr>
                <w:rFonts w:ascii="AvenirLTStd-Light" w:hAnsi="AvenirLTStd-Light" w:cs="AvenirLTStd-Light"/>
                <w:sz w:val="20"/>
                <w:szCs w:val="20"/>
              </w:rPr>
              <w:t xml:space="preserve">Use two jointly determined cut values to highlight today’s data set; for example, </w:t>
            </w:r>
            <w:r w:rsidRPr="00E4530A">
              <w:rPr>
                <w:rFonts w:ascii="AvenirLTStd-Light" w:hAnsi="AvenirLTStd-Light" w:cs="AvenirLTStd-Light"/>
                <w:sz w:val="20"/>
                <w:szCs w:val="20"/>
                <w:highlight w:val="yellow"/>
              </w:rPr>
              <w:t>all the scores above 85 percent might be highlighted green (Tier 1), all the scores between 70 and 84 percent might be highlighted yellow (Tier 2), and all the scores below 69 percent might be highlighted red (Tier 3).</w:t>
            </w:r>
          </w:p>
        </w:tc>
      </w:tr>
      <w:tr w:rsidR="00BC38D5" w:rsidRPr="00D81DC4" w:rsidTr="001B5989">
        <w:trPr>
          <w:trHeight w:val="112"/>
        </w:trPr>
        <w:tc>
          <w:tcPr>
            <w:tcW w:w="11130" w:type="dxa"/>
            <w:gridSpan w:val="5"/>
            <w:tcBorders>
              <w:top w:val="single" w:sz="18" w:space="0" w:color="auto"/>
              <w:left w:val="single" w:sz="18" w:space="0" w:color="auto"/>
              <w:right w:val="single" w:sz="18" w:space="0" w:color="auto"/>
            </w:tcBorders>
            <w:shd w:val="clear" w:color="auto" w:fill="D9D9D9"/>
          </w:tcPr>
          <w:p w:rsidR="00BC38D5" w:rsidRPr="00E4530A" w:rsidRDefault="00BC38D5" w:rsidP="001B5989">
            <w:pPr>
              <w:autoSpaceDE w:val="0"/>
              <w:autoSpaceDN w:val="0"/>
              <w:adjustRightInd w:val="0"/>
              <w:rPr>
                <w:rFonts w:ascii="Cambria" w:hAnsi="Cambria" w:cs="AvenirLTStd-Heavy"/>
                <w:b/>
                <w:sz w:val="28"/>
                <w:szCs w:val="28"/>
                <w:u w:val="single"/>
              </w:rPr>
            </w:pPr>
            <w:r w:rsidRPr="00E4530A">
              <w:rPr>
                <w:rFonts w:ascii="Cambria" w:hAnsi="Cambria" w:cs="AvenirLTStd-Heavy"/>
                <w:b/>
                <w:sz w:val="28"/>
                <w:szCs w:val="28"/>
                <w:u w:val="single"/>
              </w:rPr>
              <w:t>Step 2: Prepare Your Findings</w:t>
            </w:r>
          </w:p>
          <w:p w:rsidR="00BC38D5" w:rsidRPr="00E4530A" w:rsidRDefault="00BC38D5" w:rsidP="001B5989">
            <w:pPr>
              <w:autoSpaceDE w:val="0"/>
              <w:autoSpaceDN w:val="0"/>
              <w:adjustRightInd w:val="0"/>
            </w:pPr>
            <w:r w:rsidRPr="00E4530A">
              <w:rPr>
                <w:rFonts w:ascii="AvenirLTStd-Light" w:hAnsi="AvenirLTStd-Light" w:cs="AvenirLTStd-Light"/>
                <w:sz w:val="20"/>
                <w:szCs w:val="20"/>
              </w:rPr>
              <w:t xml:space="preserve">Now that our team has carefully prepared our data set, it is time to begin looking at our results. </w:t>
            </w:r>
            <w:proofErr w:type="gramStart"/>
            <w:r w:rsidRPr="00E4530A">
              <w:rPr>
                <w:rFonts w:ascii="AvenirLTStd-Light" w:hAnsi="AvenirLTStd-Light" w:cs="AvenirLTStd-Light"/>
                <w:sz w:val="20"/>
                <w:szCs w:val="20"/>
              </w:rPr>
              <w:t>Let’s</w:t>
            </w:r>
            <w:proofErr w:type="gramEnd"/>
            <w:r w:rsidRPr="00E4530A">
              <w:rPr>
                <w:rFonts w:ascii="AvenirLTStd-Light" w:hAnsi="AvenirLTStd-Light" w:cs="AvenirLTStd-Light"/>
                <w:sz w:val="20"/>
                <w:szCs w:val="20"/>
              </w:rPr>
              <w:t xml:space="preserve"> use </w:t>
            </w:r>
            <w:r w:rsidRPr="00E4530A">
              <w:rPr>
                <w:rFonts w:ascii="AvenirLTStd-Light" w:hAnsi="AvenirLTStd-Light" w:cs="AvenirLTStd-Light"/>
                <w:sz w:val="20"/>
                <w:szCs w:val="20"/>
                <w:u w:val="single"/>
              </w:rPr>
              <w:t>one</w:t>
            </w:r>
            <w:r w:rsidRPr="00E4530A">
              <w:rPr>
                <w:rFonts w:ascii="AvenirLTStd-Light" w:hAnsi="AvenirLTStd-Light" w:cs="AvenirLTStd-Light"/>
                <w:sz w:val="20"/>
                <w:szCs w:val="20"/>
              </w:rPr>
              <w:t xml:space="preserve"> of the following strategies to draw some conclusions about what it is that we’ve learned.</w:t>
            </w:r>
          </w:p>
        </w:tc>
      </w:tr>
      <w:tr w:rsidR="00BC38D5" w:rsidRPr="00D81DC4" w:rsidTr="001B5989">
        <w:trPr>
          <w:trHeight w:val="112"/>
        </w:trPr>
        <w:tc>
          <w:tcPr>
            <w:tcW w:w="5519" w:type="dxa"/>
            <w:gridSpan w:val="3"/>
            <w:tcBorders>
              <w:left w:val="single" w:sz="18" w:space="0" w:color="auto"/>
              <w:bottom w:val="single" w:sz="18" w:space="0" w:color="auto"/>
            </w:tcBorders>
          </w:tcPr>
          <w:p w:rsidR="00BC38D5" w:rsidRPr="00E4530A" w:rsidRDefault="00BC38D5" w:rsidP="001B5989">
            <w:pPr>
              <w:autoSpaceDE w:val="0"/>
              <w:autoSpaceDN w:val="0"/>
              <w:adjustRightInd w:val="0"/>
              <w:rPr>
                <w:rFonts w:ascii="Cambria" w:hAnsi="Cambria" w:cs="AvenirLTStd-Heavy"/>
                <w:b/>
                <w:sz w:val="28"/>
                <w:szCs w:val="28"/>
              </w:rPr>
            </w:pPr>
            <w:r w:rsidRPr="00E4530A">
              <w:rPr>
                <w:rFonts w:ascii="Cambria" w:hAnsi="Cambria" w:cs="AvenirLTStd-Heavy"/>
                <w:b/>
                <w:sz w:val="28"/>
                <w:szCs w:val="28"/>
              </w:rPr>
              <w:t xml:space="preserve">Sticky </w:t>
            </w:r>
            <w:proofErr w:type="spellStart"/>
            <w:r w:rsidRPr="00E4530A">
              <w:rPr>
                <w:rFonts w:ascii="Cambria" w:hAnsi="Cambria" w:cs="AvenirLTStd-Heavy"/>
                <w:b/>
                <w:sz w:val="28"/>
                <w:szCs w:val="28"/>
              </w:rPr>
              <w:t>Notetaking</w:t>
            </w:r>
            <w:proofErr w:type="spellEnd"/>
          </w:p>
          <w:p w:rsidR="00BC38D5" w:rsidRPr="00E4530A" w:rsidRDefault="00BC38D5" w:rsidP="001B5989">
            <w:pPr>
              <w:autoSpaceDE w:val="0"/>
              <w:autoSpaceDN w:val="0"/>
              <w:adjustRightInd w:val="0"/>
            </w:pPr>
            <w:r w:rsidRPr="00E4530A">
              <w:rPr>
                <w:rFonts w:ascii="AvenirLTStd-Light" w:hAnsi="AvenirLTStd-Light" w:cs="AvenirLTStd-Light"/>
                <w:sz w:val="20"/>
                <w:szCs w:val="20"/>
                <w:highlight w:val="yellow"/>
              </w:rPr>
              <w:t>Use self-stick notes to record up to five observations and up to five questions about today’s data set.</w:t>
            </w:r>
            <w:r w:rsidRPr="00E4530A">
              <w:rPr>
                <w:rFonts w:ascii="AvenirLTStd-Light" w:hAnsi="AvenirLTStd-Light" w:cs="AvenirLTStd-Light"/>
                <w:sz w:val="20"/>
                <w:szCs w:val="20"/>
              </w:rPr>
              <w:t xml:space="preserve"> After organizing the observations and questions into categories, start an open discussion centered on those categories.</w:t>
            </w:r>
          </w:p>
        </w:tc>
        <w:tc>
          <w:tcPr>
            <w:tcW w:w="5611" w:type="dxa"/>
            <w:gridSpan w:val="2"/>
            <w:tcBorders>
              <w:bottom w:val="single" w:sz="18" w:space="0" w:color="auto"/>
              <w:right w:val="single" w:sz="18" w:space="0" w:color="auto"/>
            </w:tcBorders>
          </w:tcPr>
          <w:p w:rsidR="00BC38D5" w:rsidRPr="00E4530A" w:rsidRDefault="00BC38D5" w:rsidP="001B5989">
            <w:pPr>
              <w:autoSpaceDE w:val="0"/>
              <w:autoSpaceDN w:val="0"/>
              <w:adjustRightInd w:val="0"/>
              <w:rPr>
                <w:rFonts w:ascii="Cambria" w:hAnsi="Cambria" w:cs="AvenirLTStd-Heavy"/>
                <w:b/>
                <w:sz w:val="28"/>
                <w:szCs w:val="28"/>
              </w:rPr>
            </w:pPr>
            <w:r w:rsidRPr="00E4530A">
              <w:rPr>
                <w:rFonts w:ascii="Cambria" w:hAnsi="Cambria" w:cs="AvenirLTStd-Heavy"/>
                <w:b/>
                <w:sz w:val="28"/>
                <w:szCs w:val="28"/>
              </w:rPr>
              <w:t>Final Word</w:t>
            </w:r>
          </w:p>
          <w:p w:rsidR="00BC38D5" w:rsidRPr="00E4530A" w:rsidRDefault="00BC38D5" w:rsidP="001B5989">
            <w:pPr>
              <w:autoSpaceDE w:val="0"/>
              <w:autoSpaceDN w:val="0"/>
              <w:adjustRightInd w:val="0"/>
            </w:pPr>
            <w:r w:rsidRPr="00E4530A">
              <w:rPr>
                <w:rFonts w:ascii="AvenirLTStd-Light" w:hAnsi="AvenirLTStd-Light" w:cs="AvenirLTStd-Light"/>
                <w:sz w:val="20"/>
                <w:szCs w:val="20"/>
              </w:rPr>
              <w:t xml:space="preserve">Give one team member 60 seconds to share a thought or insight about today’s data set. Then, each team member takes up to 30 seconds to respond to that insight. After everyone has had a chance to comment, the first team member gets 30 seconds to respond to what </w:t>
            </w:r>
            <w:proofErr w:type="gramStart"/>
            <w:r w:rsidRPr="00E4530A">
              <w:rPr>
                <w:rFonts w:ascii="AvenirLTStd-Light" w:hAnsi="AvenirLTStd-Light" w:cs="AvenirLTStd-Light"/>
                <w:sz w:val="20"/>
                <w:szCs w:val="20"/>
              </w:rPr>
              <w:t>has been heard</w:t>
            </w:r>
            <w:proofErr w:type="gramEnd"/>
            <w:r w:rsidRPr="00E4530A">
              <w:rPr>
                <w:rFonts w:ascii="AvenirLTStd-Light" w:hAnsi="AvenirLTStd-Light" w:cs="AvenirLTStd-Light"/>
                <w:sz w:val="20"/>
                <w:szCs w:val="20"/>
              </w:rPr>
              <w:t xml:space="preserve"> from the other members of our group.</w:t>
            </w:r>
          </w:p>
        </w:tc>
      </w:tr>
      <w:tr w:rsidR="00BC38D5" w:rsidRPr="00D81DC4" w:rsidTr="001B5989">
        <w:trPr>
          <w:trHeight w:val="833"/>
        </w:trPr>
        <w:tc>
          <w:tcPr>
            <w:tcW w:w="11130" w:type="dxa"/>
            <w:gridSpan w:val="5"/>
            <w:tcBorders>
              <w:top w:val="single" w:sz="18" w:space="0" w:color="auto"/>
            </w:tcBorders>
            <w:shd w:val="clear" w:color="auto" w:fill="D9D9D9"/>
          </w:tcPr>
          <w:p w:rsidR="00BC38D5" w:rsidRPr="00E4530A" w:rsidRDefault="00BC38D5" w:rsidP="001B5989">
            <w:pPr>
              <w:autoSpaceDE w:val="0"/>
              <w:autoSpaceDN w:val="0"/>
              <w:adjustRightInd w:val="0"/>
              <w:rPr>
                <w:rFonts w:ascii="Cambria" w:hAnsi="Cambria" w:cs="AvenirLTStd-Heavy"/>
                <w:b/>
                <w:sz w:val="28"/>
                <w:szCs w:val="28"/>
                <w:u w:val="single"/>
              </w:rPr>
            </w:pPr>
            <w:r w:rsidRPr="00E4530A">
              <w:rPr>
                <w:rFonts w:ascii="Cambria" w:hAnsi="Cambria" w:cs="AvenirLTStd-Heavy"/>
                <w:b/>
                <w:sz w:val="28"/>
                <w:szCs w:val="28"/>
                <w:u w:val="single"/>
              </w:rPr>
              <w:t>Step 3: Prepare Your Next Steps</w:t>
            </w:r>
          </w:p>
          <w:p w:rsidR="00BC38D5" w:rsidRPr="00E4530A" w:rsidRDefault="00BC38D5" w:rsidP="001B5989">
            <w:pPr>
              <w:autoSpaceDE w:val="0"/>
              <w:autoSpaceDN w:val="0"/>
              <w:adjustRightInd w:val="0"/>
            </w:pPr>
            <w:r w:rsidRPr="00E4530A">
              <w:rPr>
                <w:rFonts w:ascii="AvenirLTStd-Light" w:hAnsi="AvenirLTStd-Light" w:cs="AvenirLTStd-Light"/>
                <w:sz w:val="20"/>
                <w:szCs w:val="20"/>
              </w:rPr>
              <w:t xml:space="preserve">The most effective learning teams recognize that successful data conversations end in actions that </w:t>
            </w:r>
            <w:proofErr w:type="gramStart"/>
            <w:r w:rsidRPr="00E4530A">
              <w:rPr>
                <w:rFonts w:ascii="AvenirLTStd-Light" w:hAnsi="AvenirLTStd-Light" w:cs="AvenirLTStd-Light"/>
                <w:sz w:val="20"/>
                <w:szCs w:val="20"/>
              </w:rPr>
              <w:t>are designed</w:t>
            </w:r>
            <w:proofErr w:type="gramEnd"/>
            <w:r w:rsidRPr="00E4530A">
              <w:rPr>
                <w:rFonts w:ascii="AvenirLTStd-Light" w:hAnsi="AvenirLTStd-Light" w:cs="AvenirLTStd-Light"/>
                <w:sz w:val="20"/>
                <w:szCs w:val="20"/>
              </w:rPr>
              <w:t xml:space="preserve"> to improve student learning across entire grade levels and departments. </w:t>
            </w:r>
            <w:proofErr w:type="gramStart"/>
            <w:r w:rsidRPr="00E4530A">
              <w:rPr>
                <w:rFonts w:ascii="AvenirLTStd-Light" w:hAnsi="AvenirLTStd-Light" w:cs="AvenirLTStd-Light"/>
                <w:sz w:val="20"/>
                <w:szCs w:val="20"/>
              </w:rPr>
              <w:t>Let’s</w:t>
            </w:r>
            <w:proofErr w:type="gramEnd"/>
            <w:r w:rsidRPr="00E4530A">
              <w:rPr>
                <w:rFonts w:ascii="AvenirLTStd-Light" w:hAnsi="AvenirLTStd-Light" w:cs="AvenirLTStd-Light"/>
                <w:sz w:val="20"/>
                <w:szCs w:val="20"/>
              </w:rPr>
              <w:t xml:space="preserve"> use the following questions to plan our next steps.</w:t>
            </w:r>
          </w:p>
        </w:tc>
      </w:tr>
      <w:tr w:rsidR="00BC38D5" w:rsidRPr="00D81DC4" w:rsidTr="001B5989">
        <w:trPr>
          <w:trHeight w:val="112"/>
        </w:trPr>
        <w:tc>
          <w:tcPr>
            <w:tcW w:w="3798" w:type="dxa"/>
            <w:shd w:val="clear" w:color="auto" w:fill="auto"/>
          </w:tcPr>
          <w:p w:rsidR="00BC38D5" w:rsidRPr="00E4530A" w:rsidRDefault="00BC38D5" w:rsidP="001B5989">
            <w:pPr>
              <w:jc w:val="center"/>
              <w:rPr>
                <w:b/>
              </w:rPr>
            </w:pPr>
            <w:r w:rsidRPr="00E4530A">
              <w:rPr>
                <w:rFonts w:ascii="AvenirLTStd-Black" w:hAnsi="AvenirLTStd-Black" w:cs="AvenirLTStd-Black"/>
                <w:b/>
                <w:sz w:val="20"/>
                <w:szCs w:val="20"/>
              </w:rPr>
              <w:t>Conversation Task</w:t>
            </w:r>
          </w:p>
        </w:tc>
        <w:tc>
          <w:tcPr>
            <w:tcW w:w="3600" w:type="dxa"/>
            <w:gridSpan w:val="3"/>
            <w:shd w:val="clear" w:color="auto" w:fill="FFFF00"/>
          </w:tcPr>
          <w:p w:rsidR="00BC38D5" w:rsidRPr="00E4530A" w:rsidRDefault="00BC38D5" w:rsidP="001B5989">
            <w:pPr>
              <w:jc w:val="center"/>
              <w:rPr>
                <w:b/>
              </w:rPr>
            </w:pPr>
            <w:r w:rsidRPr="00E4530A">
              <w:rPr>
                <w:rFonts w:ascii="AvenirLTStd-Black" w:hAnsi="AvenirLTStd-Black" w:cs="AvenirLTStd-Black"/>
                <w:b/>
                <w:sz w:val="20"/>
                <w:szCs w:val="20"/>
              </w:rPr>
              <w:t>Patterns Observed</w:t>
            </w:r>
          </w:p>
        </w:tc>
        <w:tc>
          <w:tcPr>
            <w:tcW w:w="3732" w:type="dxa"/>
            <w:shd w:val="clear" w:color="auto" w:fill="FFFF00"/>
          </w:tcPr>
          <w:p w:rsidR="00BC38D5" w:rsidRPr="00E4530A" w:rsidRDefault="00BC38D5" w:rsidP="001B5989">
            <w:pPr>
              <w:jc w:val="center"/>
              <w:rPr>
                <w:b/>
              </w:rPr>
            </w:pPr>
            <w:r w:rsidRPr="00E4530A">
              <w:rPr>
                <w:rFonts w:ascii="AvenirLTStd-Black" w:hAnsi="AvenirLTStd-Black" w:cs="AvenirLTStd-Black"/>
                <w:b/>
                <w:sz w:val="20"/>
                <w:szCs w:val="20"/>
              </w:rPr>
              <w:t>How Will We Respond?</w:t>
            </w:r>
          </w:p>
        </w:tc>
      </w:tr>
      <w:tr w:rsidR="00BC38D5" w:rsidRPr="00D81DC4" w:rsidTr="001B5989">
        <w:trPr>
          <w:trHeight w:val="112"/>
        </w:trPr>
        <w:tc>
          <w:tcPr>
            <w:tcW w:w="3798" w:type="dxa"/>
            <w:shd w:val="clear" w:color="auto" w:fill="auto"/>
          </w:tcPr>
          <w:p w:rsidR="00BC38D5" w:rsidRPr="00E4530A" w:rsidRDefault="00BC38D5" w:rsidP="001B5989">
            <w:pPr>
              <w:autoSpaceDE w:val="0"/>
              <w:autoSpaceDN w:val="0"/>
              <w:adjustRightInd w:val="0"/>
              <w:rPr>
                <w:rFonts w:ascii="AvenirLTStd-Heavy" w:hAnsi="AvenirLTStd-Heavy" w:cs="AvenirLTStd-Heavy"/>
                <w:b/>
                <w:sz w:val="20"/>
                <w:szCs w:val="20"/>
              </w:rPr>
            </w:pPr>
            <w:r w:rsidRPr="00E4530A">
              <w:rPr>
                <w:rFonts w:ascii="AvenirLTStd-Heavy" w:hAnsi="AvenirLTStd-Heavy" w:cs="AvenirLTStd-Heavy"/>
                <w:b/>
                <w:sz w:val="20"/>
                <w:szCs w:val="20"/>
              </w:rPr>
              <w:t>Interpret Results</w:t>
            </w:r>
          </w:p>
          <w:p w:rsidR="00BC38D5" w:rsidRPr="00E4530A" w:rsidRDefault="00BC38D5" w:rsidP="001B5989">
            <w:pPr>
              <w:autoSpaceDE w:val="0"/>
              <w:autoSpaceDN w:val="0"/>
              <w:adjustRightInd w:val="0"/>
              <w:jc w:val="both"/>
            </w:pPr>
            <w:proofErr w:type="gramStart"/>
            <w:r w:rsidRPr="00E4530A">
              <w:rPr>
                <w:rFonts w:ascii="AvenirLTStd-Light" w:hAnsi="AvenirLTStd-Light" w:cs="AvenirLTStd-Light"/>
                <w:sz w:val="20"/>
                <w:szCs w:val="20"/>
              </w:rPr>
              <w:t>It’s</w:t>
            </w:r>
            <w:proofErr w:type="gramEnd"/>
            <w:r w:rsidRPr="00E4530A">
              <w:rPr>
                <w:rFonts w:ascii="AvenirLTStd-Light" w:hAnsi="AvenirLTStd-Light" w:cs="AvenirLTStd-Light"/>
                <w:sz w:val="20"/>
                <w:szCs w:val="20"/>
              </w:rPr>
              <w:t xml:space="preserve"> time to dig into our results! </w:t>
            </w:r>
            <w:proofErr w:type="gramStart"/>
            <w:r w:rsidRPr="00E4530A">
              <w:rPr>
                <w:rFonts w:ascii="AvenirLTStd-Light" w:hAnsi="AvenirLTStd-Light" w:cs="AvenirLTStd-Light"/>
                <w:sz w:val="20"/>
                <w:szCs w:val="20"/>
              </w:rPr>
              <w:t>Let’s</w:t>
            </w:r>
            <w:proofErr w:type="gramEnd"/>
            <w:r w:rsidRPr="00E4530A">
              <w:rPr>
                <w:rFonts w:ascii="AvenirLTStd-Light" w:hAnsi="AvenirLTStd-Light" w:cs="AvenirLTStd-Light"/>
                <w:sz w:val="20"/>
                <w:szCs w:val="20"/>
              </w:rPr>
              <w:t xml:space="preserve"> discuss the patterns that we see in student performance. Brainstorm a list of three to five specific result statements on which our team can take action. Remember to avoid emotionally loaded words and phrases. What patterns do you see in student performance?</w:t>
            </w:r>
          </w:p>
        </w:tc>
        <w:tc>
          <w:tcPr>
            <w:tcW w:w="3600" w:type="dxa"/>
            <w:gridSpan w:val="3"/>
            <w:shd w:val="clear" w:color="auto" w:fill="FFFFFF"/>
          </w:tcPr>
          <w:p w:rsidR="00BC38D5" w:rsidRPr="00E4530A" w:rsidRDefault="00BC38D5" w:rsidP="001B5989">
            <w:pPr>
              <w:autoSpaceDE w:val="0"/>
              <w:autoSpaceDN w:val="0"/>
              <w:adjustRightInd w:val="0"/>
              <w:contextualSpacing/>
              <w:jc w:val="both"/>
            </w:pPr>
          </w:p>
          <w:p w:rsidR="00BC38D5" w:rsidRPr="00E4530A" w:rsidRDefault="00BC38D5" w:rsidP="001B5989">
            <w:pPr>
              <w:autoSpaceDE w:val="0"/>
              <w:autoSpaceDN w:val="0"/>
              <w:adjustRightInd w:val="0"/>
              <w:ind w:left="408"/>
              <w:contextualSpacing/>
              <w:jc w:val="both"/>
            </w:pPr>
          </w:p>
        </w:tc>
        <w:tc>
          <w:tcPr>
            <w:tcW w:w="3732" w:type="dxa"/>
            <w:shd w:val="clear" w:color="auto" w:fill="FFFFFF"/>
          </w:tcPr>
          <w:p w:rsidR="00BC38D5" w:rsidRPr="00E4530A" w:rsidRDefault="00BC38D5" w:rsidP="001B5989"/>
        </w:tc>
      </w:tr>
      <w:tr w:rsidR="00BC38D5" w:rsidRPr="00D81DC4" w:rsidTr="001B5989">
        <w:trPr>
          <w:trHeight w:val="112"/>
        </w:trPr>
        <w:tc>
          <w:tcPr>
            <w:tcW w:w="3798" w:type="dxa"/>
            <w:shd w:val="clear" w:color="auto" w:fill="auto"/>
          </w:tcPr>
          <w:p w:rsidR="00BC38D5" w:rsidRPr="00E4530A" w:rsidRDefault="00BC38D5" w:rsidP="001B5989">
            <w:pPr>
              <w:autoSpaceDE w:val="0"/>
              <w:autoSpaceDN w:val="0"/>
              <w:adjustRightInd w:val="0"/>
              <w:rPr>
                <w:rFonts w:ascii="AvenirLTStd-Heavy" w:hAnsi="AvenirLTStd-Heavy" w:cs="AvenirLTStd-Heavy"/>
                <w:b/>
                <w:sz w:val="20"/>
                <w:szCs w:val="20"/>
              </w:rPr>
            </w:pPr>
            <w:r w:rsidRPr="00E4530A">
              <w:rPr>
                <w:rFonts w:ascii="AvenirLTStd-Heavy" w:hAnsi="AvenirLTStd-Heavy" w:cs="AvenirLTStd-Heavy"/>
                <w:b/>
                <w:sz w:val="20"/>
                <w:szCs w:val="20"/>
              </w:rPr>
              <w:t>Leave With Questions as Well</w:t>
            </w:r>
          </w:p>
          <w:p w:rsidR="00BC38D5" w:rsidRPr="00E4530A" w:rsidRDefault="00BC38D5" w:rsidP="001B5989">
            <w:pPr>
              <w:autoSpaceDE w:val="0"/>
              <w:autoSpaceDN w:val="0"/>
              <w:adjustRightInd w:val="0"/>
              <w:rPr>
                <w:rFonts w:ascii="AvenirLTStd-Heavy" w:hAnsi="AvenirLTStd-Heavy" w:cs="AvenirLTStd-Heavy"/>
                <w:sz w:val="20"/>
                <w:szCs w:val="20"/>
              </w:rPr>
            </w:pPr>
            <w:proofErr w:type="gramStart"/>
            <w:r w:rsidRPr="00E4530A">
              <w:rPr>
                <w:rFonts w:ascii="AvenirLTStd-Heavy" w:hAnsi="AvenirLTStd-Heavy" w:cs="AvenirLTStd-Heavy"/>
                <w:b/>
                <w:sz w:val="20"/>
                <w:szCs w:val="20"/>
              </w:rPr>
              <w:t>as</w:t>
            </w:r>
            <w:proofErr w:type="gramEnd"/>
            <w:r w:rsidRPr="00E4530A">
              <w:rPr>
                <w:rFonts w:ascii="AvenirLTStd-Heavy" w:hAnsi="AvenirLTStd-Heavy" w:cs="AvenirLTStd-Heavy"/>
                <w:b/>
                <w:sz w:val="20"/>
                <w:szCs w:val="20"/>
              </w:rPr>
              <w:t xml:space="preserve"> Answers</w:t>
            </w:r>
          </w:p>
          <w:p w:rsidR="00BC38D5" w:rsidRPr="00E4530A" w:rsidRDefault="00BC38D5" w:rsidP="001B5989">
            <w:pPr>
              <w:autoSpaceDE w:val="0"/>
              <w:autoSpaceDN w:val="0"/>
              <w:adjustRightInd w:val="0"/>
              <w:rPr>
                <w:rFonts w:ascii="AvenirLTStd-Heavy" w:hAnsi="AvenirLTStd-Heavy" w:cs="AvenirLTStd-Heavy"/>
                <w:b/>
                <w:sz w:val="20"/>
                <w:szCs w:val="20"/>
              </w:rPr>
            </w:pPr>
            <w:r w:rsidRPr="00E4530A">
              <w:rPr>
                <w:rFonts w:ascii="AvenirLTStd-Light" w:hAnsi="AvenirLTStd-Light" w:cs="AvenirLTStd-Light"/>
                <w:sz w:val="20"/>
                <w:szCs w:val="20"/>
              </w:rPr>
              <w:t xml:space="preserve">For highly accomplished learning teams, data conversations are as much about questions as they are about answers. Never leave a data conversation without </w:t>
            </w:r>
            <w:r w:rsidRPr="00E4530A">
              <w:rPr>
                <w:rFonts w:ascii="AvenirLTStd-Light" w:hAnsi="AvenirLTStd-Light" w:cs="AvenirLTStd-Light"/>
                <w:sz w:val="20"/>
                <w:szCs w:val="20"/>
              </w:rPr>
              <w:lastRenderedPageBreak/>
              <w:t>new questions to pursue.</w:t>
            </w:r>
          </w:p>
        </w:tc>
        <w:tc>
          <w:tcPr>
            <w:tcW w:w="3600" w:type="dxa"/>
            <w:gridSpan w:val="3"/>
            <w:shd w:val="clear" w:color="auto" w:fill="FFFFFF"/>
          </w:tcPr>
          <w:p w:rsidR="00BC38D5" w:rsidRPr="00E4530A" w:rsidRDefault="00BC38D5" w:rsidP="001B5989">
            <w:pPr>
              <w:autoSpaceDE w:val="0"/>
              <w:autoSpaceDN w:val="0"/>
              <w:adjustRightInd w:val="0"/>
              <w:contextualSpacing/>
              <w:jc w:val="both"/>
            </w:pPr>
          </w:p>
        </w:tc>
        <w:tc>
          <w:tcPr>
            <w:tcW w:w="3732" w:type="dxa"/>
            <w:shd w:val="clear" w:color="auto" w:fill="FFFFFF"/>
          </w:tcPr>
          <w:p w:rsidR="00BC38D5" w:rsidRPr="00E4530A" w:rsidRDefault="00BC38D5" w:rsidP="001B5989"/>
        </w:tc>
      </w:tr>
      <w:tr w:rsidR="00BC38D5" w:rsidRPr="00D81DC4" w:rsidTr="001B5989">
        <w:trPr>
          <w:trHeight w:val="1303"/>
        </w:trPr>
        <w:tc>
          <w:tcPr>
            <w:tcW w:w="11130" w:type="dxa"/>
            <w:gridSpan w:val="5"/>
            <w:shd w:val="clear" w:color="auto" w:fill="auto"/>
          </w:tcPr>
          <w:p w:rsidR="00BC38D5" w:rsidRPr="00E4530A" w:rsidRDefault="00BC38D5" w:rsidP="001B5989">
            <w:pPr>
              <w:autoSpaceDE w:val="0"/>
              <w:autoSpaceDN w:val="0"/>
              <w:adjustRightInd w:val="0"/>
              <w:rPr>
                <w:rFonts w:ascii="Cambria" w:hAnsi="Cambria" w:cs="AvenirLTStd-Heavy"/>
                <w:b/>
                <w:sz w:val="28"/>
                <w:szCs w:val="28"/>
                <w:u w:val="single"/>
              </w:rPr>
            </w:pPr>
            <w:r w:rsidRPr="00E4530A">
              <w:rPr>
                <w:rFonts w:ascii="Cambria" w:hAnsi="Cambria" w:cs="AvenirLTStd-Heavy"/>
                <w:b/>
                <w:sz w:val="28"/>
                <w:szCs w:val="28"/>
                <w:u w:val="single"/>
              </w:rPr>
              <w:lastRenderedPageBreak/>
              <w:t>Step 4: Write a Set of Summary Statements</w:t>
            </w:r>
          </w:p>
          <w:p w:rsidR="00BC38D5" w:rsidRPr="00E4530A" w:rsidRDefault="00BC38D5" w:rsidP="001B5989">
            <w:pPr>
              <w:autoSpaceDE w:val="0"/>
              <w:autoSpaceDN w:val="0"/>
              <w:adjustRightInd w:val="0"/>
              <w:jc w:val="both"/>
            </w:pPr>
            <w:r w:rsidRPr="00E4530A">
              <w:rPr>
                <w:rFonts w:ascii="AvenirLTStd-Light" w:hAnsi="AvenirLTStd-Light" w:cs="AvenirLTStd-Light"/>
                <w:sz w:val="20"/>
                <w:szCs w:val="20"/>
              </w:rPr>
              <w:t xml:space="preserve">The most effective learning teams end data conversations with a set of short statements summarizing the outcomes of this powerful professional learning experience. </w:t>
            </w:r>
            <w:proofErr w:type="gramStart"/>
            <w:r w:rsidRPr="00E4530A">
              <w:rPr>
                <w:rFonts w:ascii="AvenirLTStd-Light" w:hAnsi="AvenirLTStd-Light" w:cs="AvenirLTStd-Light"/>
                <w:sz w:val="20"/>
                <w:szCs w:val="20"/>
              </w:rPr>
              <w:t>Let’s</w:t>
            </w:r>
            <w:proofErr w:type="gramEnd"/>
            <w:r w:rsidRPr="00E4530A">
              <w:rPr>
                <w:rFonts w:ascii="AvenirLTStd-Light" w:hAnsi="AvenirLTStd-Light" w:cs="AvenirLTStd-Light"/>
                <w:sz w:val="20"/>
                <w:szCs w:val="20"/>
              </w:rPr>
              <w:t xml:space="preserve"> use the following sentence starters to craft summary statements for today’s data conversation.</w:t>
            </w:r>
          </w:p>
        </w:tc>
      </w:tr>
      <w:tr w:rsidR="00BC38D5" w:rsidRPr="00D81DC4" w:rsidTr="001B5989">
        <w:trPr>
          <w:trHeight w:val="55"/>
        </w:trPr>
        <w:tc>
          <w:tcPr>
            <w:tcW w:w="4071" w:type="dxa"/>
            <w:gridSpan w:val="2"/>
            <w:shd w:val="clear" w:color="auto" w:fill="auto"/>
          </w:tcPr>
          <w:p w:rsidR="00BC38D5" w:rsidRPr="00E4530A" w:rsidRDefault="00BC38D5" w:rsidP="001B5989">
            <w:pPr>
              <w:jc w:val="center"/>
              <w:rPr>
                <w:b/>
              </w:rPr>
            </w:pPr>
            <w:r w:rsidRPr="00E4530A">
              <w:rPr>
                <w:rFonts w:ascii="AvenirLTStd-Black" w:hAnsi="AvenirLTStd-Black" w:cs="AvenirLTStd-Black"/>
                <w:b/>
                <w:sz w:val="20"/>
                <w:szCs w:val="20"/>
              </w:rPr>
              <w:t>Prompt</w:t>
            </w:r>
          </w:p>
        </w:tc>
        <w:tc>
          <w:tcPr>
            <w:tcW w:w="7059" w:type="dxa"/>
            <w:gridSpan w:val="3"/>
            <w:shd w:val="clear" w:color="auto" w:fill="FFFF00"/>
          </w:tcPr>
          <w:p w:rsidR="00BC38D5" w:rsidRPr="00E4530A" w:rsidRDefault="00BC38D5" w:rsidP="001B5989">
            <w:pPr>
              <w:jc w:val="center"/>
              <w:rPr>
                <w:b/>
              </w:rPr>
            </w:pPr>
            <w:r w:rsidRPr="00E4530A">
              <w:rPr>
                <w:rFonts w:ascii="AvenirLTStd-Black" w:hAnsi="AvenirLTStd-Black" w:cs="AvenirLTStd-Black"/>
                <w:b/>
                <w:sz w:val="20"/>
                <w:szCs w:val="20"/>
              </w:rPr>
              <w:t>Response</w:t>
            </w:r>
          </w:p>
        </w:tc>
      </w:tr>
      <w:tr w:rsidR="00BC38D5" w:rsidRPr="00D81DC4" w:rsidTr="001B5989">
        <w:trPr>
          <w:trHeight w:val="1467"/>
        </w:trPr>
        <w:tc>
          <w:tcPr>
            <w:tcW w:w="4071" w:type="dxa"/>
            <w:gridSpan w:val="2"/>
            <w:shd w:val="clear" w:color="auto" w:fill="auto"/>
          </w:tcPr>
          <w:p w:rsidR="00BC38D5" w:rsidRPr="00E4530A" w:rsidRDefault="00BC38D5" w:rsidP="001B5989">
            <w:pPr>
              <w:autoSpaceDE w:val="0"/>
              <w:autoSpaceDN w:val="0"/>
              <w:adjustRightInd w:val="0"/>
            </w:pPr>
            <w:r w:rsidRPr="00E4530A">
              <w:rPr>
                <w:rFonts w:ascii="AvenirLTStd-Light" w:hAnsi="AvenirLTStd-Light" w:cs="AvenirLTStd-Light"/>
                <w:sz w:val="20"/>
                <w:szCs w:val="20"/>
              </w:rPr>
              <w:t>The finding that surprised us the most in today’s data conversation was . . .</w:t>
            </w:r>
          </w:p>
        </w:tc>
        <w:tc>
          <w:tcPr>
            <w:tcW w:w="7059" w:type="dxa"/>
            <w:gridSpan w:val="3"/>
            <w:shd w:val="clear" w:color="auto" w:fill="FFFFFF"/>
          </w:tcPr>
          <w:p w:rsidR="00BC38D5" w:rsidRPr="00E4530A" w:rsidRDefault="00BC38D5" w:rsidP="001B5989"/>
          <w:p w:rsidR="00BC38D5" w:rsidRPr="00E4530A" w:rsidRDefault="00BC38D5" w:rsidP="001B5989"/>
          <w:p w:rsidR="00BC38D5" w:rsidRPr="00E4530A" w:rsidRDefault="00BC38D5" w:rsidP="001B5989"/>
          <w:p w:rsidR="00BC38D5" w:rsidRPr="00E4530A" w:rsidRDefault="00BC38D5" w:rsidP="001B5989"/>
          <w:p w:rsidR="00BC38D5" w:rsidRPr="00E4530A" w:rsidRDefault="00BC38D5" w:rsidP="001B5989"/>
          <w:p w:rsidR="00BC38D5" w:rsidRPr="00E4530A" w:rsidRDefault="00BC38D5" w:rsidP="001B5989"/>
          <w:p w:rsidR="00BC38D5" w:rsidRPr="00E4530A" w:rsidRDefault="00BC38D5" w:rsidP="001B5989"/>
        </w:tc>
      </w:tr>
      <w:tr w:rsidR="00BC38D5" w:rsidRPr="00D81DC4" w:rsidTr="001B5989">
        <w:trPr>
          <w:trHeight w:val="1678"/>
        </w:trPr>
        <w:tc>
          <w:tcPr>
            <w:tcW w:w="4071" w:type="dxa"/>
            <w:gridSpan w:val="2"/>
            <w:shd w:val="clear" w:color="auto" w:fill="auto"/>
          </w:tcPr>
          <w:p w:rsidR="00BC38D5" w:rsidRPr="00E4530A" w:rsidRDefault="00BC38D5" w:rsidP="001B5989">
            <w:pPr>
              <w:autoSpaceDE w:val="0"/>
              <w:autoSpaceDN w:val="0"/>
              <w:adjustRightInd w:val="0"/>
            </w:pPr>
            <w:r w:rsidRPr="00E4530A">
              <w:rPr>
                <w:rFonts w:ascii="AvenirLTStd-Light" w:hAnsi="AvenirLTStd-Light" w:cs="AvenirLTStd-Light"/>
                <w:sz w:val="20"/>
                <w:szCs w:val="20"/>
              </w:rPr>
              <w:t>Today’s data conversation has left us convinced that . . .</w:t>
            </w:r>
          </w:p>
        </w:tc>
        <w:tc>
          <w:tcPr>
            <w:tcW w:w="7059" w:type="dxa"/>
            <w:gridSpan w:val="3"/>
            <w:shd w:val="clear" w:color="auto" w:fill="FFFFFF"/>
          </w:tcPr>
          <w:p w:rsidR="00BC38D5" w:rsidRPr="00E4530A" w:rsidRDefault="00BC38D5" w:rsidP="001B5989"/>
          <w:p w:rsidR="00BC38D5" w:rsidRPr="00E4530A" w:rsidRDefault="00BC38D5" w:rsidP="001B5989"/>
          <w:p w:rsidR="00BC38D5" w:rsidRPr="00E4530A" w:rsidRDefault="00BC38D5" w:rsidP="001B5989"/>
          <w:p w:rsidR="00BC38D5" w:rsidRPr="00E4530A" w:rsidRDefault="00BC38D5" w:rsidP="001B5989"/>
          <w:p w:rsidR="00BC38D5" w:rsidRPr="00E4530A" w:rsidRDefault="00BC38D5" w:rsidP="001B5989"/>
          <w:p w:rsidR="00BC38D5" w:rsidRPr="00E4530A" w:rsidRDefault="00BC38D5" w:rsidP="001B5989"/>
          <w:p w:rsidR="00BC38D5" w:rsidRPr="00E4530A" w:rsidRDefault="00BC38D5" w:rsidP="001B5989"/>
          <w:p w:rsidR="00BC38D5" w:rsidRPr="00E4530A" w:rsidRDefault="00BC38D5" w:rsidP="001B5989"/>
        </w:tc>
      </w:tr>
      <w:tr w:rsidR="00BC38D5" w:rsidRPr="00D81DC4" w:rsidTr="001B5989">
        <w:trPr>
          <w:trHeight w:val="1056"/>
        </w:trPr>
        <w:tc>
          <w:tcPr>
            <w:tcW w:w="4071" w:type="dxa"/>
            <w:gridSpan w:val="2"/>
            <w:shd w:val="clear" w:color="auto" w:fill="auto"/>
          </w:tcPr>
          <w:p w:rsidR="00BC38D5" w:rsidRPr="00E4530A" w:rsidRDefault="00BC38D5" w:rsidP="001B5989">
            <w:pPr>
              <w:autoSpaceDE w:val="0"/>
              <w:autoSpaceDN w:val="0"/>
              <w:adjustRightInd w:val="0"/>
            </w:pPr>
            <w:r w:rsidRPr="00E4530A">
              <w:rPr>
                <w:rFonts w:ascii="AvenirLTStd-Light" w:hAnsi="AvenirLTStd-Light" w:cs="AvenirLTStd-Light"/>
                <w:sz w:val="20"/>
                <w:szCs w:val="20"/>
              </w:rPr>
              <w:t>Today’s data conversation has us continuing to wonder whether or not . . .</w:t>
            </w:r>
          </w:p>
        </w:tc>
        <w:tc>
          <w:tcPr>
            <w:tcW w:w="7059" w:type="dxa"/>
            <w:gridSpan w:val="3"/>
            <w:shd w:val="clear" w:color="auto" w:fill="FFFFFF"/>
          </w:tcPr>
          <w:p w:rsidR="00BC38D5" w:rsidRPr="00E4530A" w:rsidRDefault="00BC38D5" w:rsidP="001B5989"/>
          <w:p w:rsidR="00BC38D5" w:rsidRPr="00E4530A" w:rsidRDefault="00BC38D5" w:rsidP="001B5989"/>
          <w:p w:rsidR="00BC38D5" w:rsidRPr="00E4530A" w:rsidRDefault="00BC38D5" w:rsidP="001B5989"/>
          <w:p w:rsidR="00BC38D5" w:rsidRPr="00E4530A" w:rsidRDefault="00BC38D5" w:rsidP="001B5989"/>
          <w:p w:rsidR="00BC38D5" w:rsidRPr="00E4530A" w:rsidRDefault="00BC38D5" w:rsidP="001B5989"/>
        </w:tc>
      </w:tr>
      <w:tr w:rsidR="00BC38D5" w:rsidRPr="00D81DC4" w:rsidTr="001B5989">
        <w:trPr>
          <w:trHeight w:val="1467"/>
        </w:trPr>
        <w:tc>
          <w:tcPr>
            <w:tcW w:w="4071" w:type="dxa"/>
            <w:gridSpan w:val="2"/>
            <w:shd w:val="clear" w:color="auto" w:fill="auto"/>
          </w:tcPr>
          <w:p w:rsidR="00BC38D5" w:rsidRPr="00E4530A" w:rsidRDefault="00BC38D5" w:rsidP="001B5989">
            <w:r w:rsidRPr="00E4530A">
              <w:rPr>
                <w:rFonts w:ascii="AvenirLTStd-Light" w:hAnsi="AvenirLTStd-Light" w:cs="AvenirLTStd-Light"/>
                <w:sz w:val="20"/>
                <w:szCs w:val="20"/>
              </w:rPr>
              <w:t>To act on today’s data conversation, we plan to . . .</w:t>
            </w:r>
          </w:p>
        </w:tc>
        <w:tc>
          <w:tcPr>
            <w:tcW w:w="7059" w:type="dxa"/>
            <w:gridSpan w:val="3"/>
            <w:shd w:val="clear" w:color="auto" w:fill="FFFFFF"/>
          </w:tcPr>
          <w:p w:rsidR="00BC38D5" w:rsidRPr="00E4530A" w:rsidRDefault="00BC38D5" w:rsidP="001B5989"/>
          <w:p w:rsidR="00BC38D5" w:rsidRPr="00E4530A" w:rsidRDefault="00BC38D5" w:rsidP="001B5989">
            <w:pPr>
              <w:shd w:val="clear" w:color="auto" w:fill="FFFFFF"/>
            </w:pPr>
          </w:p>
          <w:p w:rsidR="00BC38D5" w:rsidRPr="00E4530A" w:rsidRDefault="00BC38D5" w:rsidP="001B5989">
            <w:pPr>
              <w:shd w:val="clear" w:color="auto" w:fill="FFFFFF"/>
            </w:pPr>
          </w:p>
          <w:p w:rsidR="00BC38D5" w:rsidRPr="00E4530A" w:rsidRDefault="00BC38D5" w:rsidP="001B5989">
            <w:pPr>
              <w:shd w:val="clear" w:color="auto" w:fill="FFFFFF"/>
            </w:pPr>
          </w:p>
          <w:p w:rsidR="00BC38D5" w:rsidRPr="00E4530A" w:rsidRDefault="00BC38D5" w:rsidP="001B5989">
            <w:pPr>
              <w:shd w:val="clear" w:color="auto" w:fill="FFFFFF"/>
            </w:pPr>
          </w:p>
          <w:p w:rsidR="00BC38D5" w:rsidRPr="00E4530A" w:rsidRDefault="00BC38D5" w:rsidP="001B5989"/>
          <w:p w:rsidR="00BC38D5" w:rsidRPr="00E4530A" w:rsidRDefault="00BC38D5" w:rsidP="001B5989"/>
        </w:tc>
      </w:tr>
    </w:tbl>
    <w:p w:rsidR="00BC38D5" w:rsidRDefault="00BC38D5" w:rsidP="00BC38D5">
      <w:pPr>
        <w:autoSpaceDE w:val="0"/>
        <w:autoSpaceDN w:val="0"/>
        <w:adjustRightInd w:val="0"/>
        <w:rPr>
          <w:rFonts w:ascii="AvenirLTStd-Heavy" w:hAnsi="AvenirLTStd-Heavy" w:cs="AvenirLTStd-Heavy"/>
        </w:rPr>
      </w:pPr>
      <w:r>
        <w:rPr>
          <w:rFonts w:ascii="AvenirLTStd-Heavy" w:hAnsi="AvenirLTStd-Heavy" w:cs="AvenirLTStd-Heavy"/>
        </w:rPr>
        <w:t>Duplin County Schools. (2014)</w:t>
      </w:r>
      <w:proofErr w:type="gramStart"/>
      <w:r>
        <w:rPr>
          <w:rFonts w:ascii="AvenirLTStd-Heavy" w:hAnsi="AvenirLTStd-Heavy" w:cs="AvenirLTStd-Heavy"/>
        </w:rPr>
        <w:t xml:space="preserve">. </w:t>
      </w:r>
      <w:r w:rsidRPr="00754C10">
        <w:rPr>
          <w:rFonts w:ascii="AvenirLTStd-Heavy" w:hAnsi="AvenirLTStd-Heavy" w:cs="AvenirLTStd-Heavy"/>
          <w:i/>
        </w:rPr>
        <w:t>Data Conversations.</w:t>
      </w:r>
      <w:proofErr w:type="gramEnd"/>
      <w:r>
        <w:rPr>
          <w:rFonts w:ascii="AvenirLTStd-Heavy" w:hAnsi="AvenirLTStd-Heavy" w:cs="AvenirLTStd-Heavy"/>
        </w:rPr>
        <w:t xml:space="preserve"> Retrieved from </w:t>
      </w:r>
      <w:hyperlink r:id="rId5" w:history="1">
        <w:r w:rsidRPr="00754C10">
          <w:rPr>
            <w:rStyle w:val="Hyperlink"/>
            <w:rFonts w:ascii="AvenirLTStd-Heavy" w:hAnsi="AvenirLTStd-Heavy" w:cs="AvenirLTStd-Heavy"/>
          </w:rPr>
          <w:t>http://duplinschools.net/site/Default.aspx?PageType=6&amp;SiteID=1&amp;SearchString=Data%20Conversation</w:t>
        </w:r>
      </w:hyperlink>
    </w:p>
    <w:p w:rsidR="00C100E5" w:rsidRDefault="00C100E5"/>
    <w:sectPr w:rsidR="00C100E5" w:rsidSect="007C36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LTStd-Heavy">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LTStd-Light">
    <w:altName w:val="Cambria"/>
    <w:panose1 w:val="00000000000000000000"/>
    <w:charset w:val="00"/>
    <w:family w:val="swiss"/>
    <w:notTrueType/>
    <w:pitch w:val="default"/>
    <w:sig w:usb0="00000003" w:usb1="00000000" w:usb2="00000000" w:usb3="00000000" w:csb0="00000001" w:csb1="00000000"/>
  </w:font>
  <w:font w:name="AvenirLTStd-Black">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D5"/>
    <w:rsid w:val="007C36E7"/>
    <w:rsid w:val="00BC38D5"/>
    <w:rsid w:val="00C10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38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8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uplinschools.net/site/Default.aspx?PageType=6&amp;SiteID=1&amp;SearchString=Data%20Convers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3162</Characters>
  <Application>Microsoft Macintosh Word</Application>
  <DocSecurity>0</DocSecurity>
  <Lines>26</Lines>
  <Paragraphs>7</Paragraphs>
  <ScaleCrop>false</ScaleCrop>
  <Company>Duplin County Schools</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 Staff</dc:creator>
  <cp:keywords/>
  <dc:description/>
  <cp:lastModifiedBy>DCS Staff</cp:lastModifiedBy>
  <cp:revision>1</cp:revision>
  <dcterms:created xsi:type="dcterms:W3CDTF">2015-07-08T18:15:00Z</dcterms:created>
  <dcterms:modified xsi:type="dcterms:W3CDTF">2015-07-08T18:16:00Z</dcterms:modified>
</cp:coreProperties>
</file>